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830FCE">
        <w:rPr>
          <w:b/>
          <w:bCs/>
          <w:color w:val="4472C4"/>
          <w:sz w:val="36"/>
          <w:szCs w:val="32"/>
        </w:rPr>
        <w:t>VENUSTIANO CARRANZA</w:t>
      </w:r>
    </w:p>
    <w:p w:rsidR="00C7178B" w:rsidRPr="00C7178B" w:rsidRDefault="00830FCE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DEPORTIVO PINO SUÁREZ</w:t>
      </w:r>
      <w:r w:rsidR="00C7178B" w:rsidRPr="00C7178B">
        <w:rPr>
          <w:b/>
          <w:bCs/>
          <w:color w:val="4472C4"/>
          <w:sz w:val="36"/>
          <w:szCs w:val="32"/>
        </w:rPr>
        <w:t xml:space="preserve"> </w:t>
      </w:r>
      <w:r>
        <w:rPr>
          <w:b/>
          <w:bCs/>
          <w:color w:val="4472C4"/>
          <w:sz w:val="36"/>
          <w:szCs w:val="32"/>
        </w:rPr>
        <w:t>/ 11</w:t>
      </w:r>
      <w:r w:rsidR="00C7178B" w:rsidRPr="00C7178B">
        <w:rPr>
          <w:b/>
          <w:bCs/>
          <w:color w:val="4472C4"/>
          <w:sz w:val="36"/>
          <w:szCs w:val="32"/>
        </w:rPr>
        <w:t xml:space="preserve"> MAYO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830FCE" w:rsidP="00830FCE">
            <w:r w:rsidRPr="00830FCE">
              <w:t>Informó que la próxima Utopía a inaugurar en la Ciudad de México corresponde a Venustiano Carranza (Eduardo Molina), adelantada por la Secretaría de Obras. Agradeció la coordinación de la alcaldesa Evelyn y los diputados Israel Moreno y Julio con el Gobierno de la Ciudad. Destacó las obras de movilidad recientes (Tren Ligero Taxqueña-Xochimilco, Cablebúses, Interurbano, Suburbano Buenavista-Hidalgo) como parte del sistema integral de cuidados.</w:t>
            </w:r>
          </w:p>
        </w:tc>
      </w:tr>
      <w:tr w:rsidR="00917624" w:rsidTr="00830FCE">
        <w:trPr>
          <w:trHeight w:val="840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>
            <w:r>
              <w:t>DIP. CECILIA VADILLO OBREGÓN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Presidenta de la Comisión de Igualdad de Género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0FCE" w:rsidRDefault="00830FCE" w:rsidP="00830FCE">
            <w:r>
              <w:t>P</w:t>
            </w:r>
            <w:r w:rsidRPr="00830FCE">
              <w:t>resentó el Sistema de Cuidados contextualizando la brecha histórica de género en el trabajo doméstico y reproductivo. Explicó los cuatro ejes de la iniciativa: reconocimiento, redistribución, reducción de cargas y sostenibilidad financiera. Esta fue la 14.ª y última alcaldía del ciclo de consultas.</w:t>
            </w:r>
          </w:p>
          <w:p w:rsidR="00830FCE" w:rsidRDefault="00830FCE" w:rsidP="00830FCE">
            <w:r>
              <w:t>La ley contempla capacitación desde el gobierno para personas cuidadoras: técnicas de traslado, higiene, manejo de situaciones de dependencia severa.</w:t>
            </w:r>
          </w:p>
          <w:p w:rsidR="00830FCE" w:rsidRDefault="00830FCE" w:rsidP="00830FCE">
            <w:r>
              <w:t>Las personas con experiencia de cuidado podrán certificarse formalmente y acceder a empleo remunerado como cuidadoras profesionales.</w:t>
            </w:r>
          </w:p>
          <w:p w:rsidR="00306797" w:rsidRDefault="00830FCE" w:rsidP="00306797">
            <w:r>
              <w:t>La iniciativa incluye apoyo psicológico para quienes cuidan.</w:t>
            </w:r>
          </w:p>
        </w:tc>
      </w:tr>
      <w:tr w:rsidR="00917624" w:rsidTr="00830FCE">
        <w:trPr>
          <w:trHeight w:val="816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830FCE" w:rsidP="00306797">
            <w:r w:rsidRPr="00830FCE">
              <w:t>DIP. ISRAEL MORENO RIVERA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06797" w:rsidRDefault="00306797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830FCE" w:rsidP="00306797">
            <w:r>
              <w:t>E</w:t>
            </w:r>
            <w:r w:rsidRPr="00830FCE">
              <w:t>nfatizó el carácter de justicia social, dignidad y reconocimiento histórico de la iniciativa. Destacó que la ley no solo modifica prácticas sino que eleva el cuidado a la categoría de derecho humano fundamental, incluyendo el derecho de quien cuida a ser cuidado.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830FCE">
            <w:r w:rsidRPr="00830FCE">
              <w:t>LOURDES TORRES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830FCE">
            <w:r w:rsidRPr="00830FCE">
              <w:t>Vecina, colonia Valentín Gómez Farías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0FCE" w:rsidRDefault="00830FCE" w:rsidP="00830FCE">
            <w:r>
              <w:t>Cuidadora de su esposo con secuelas de infarto: la carga recae principalmente sobre su hija, quien realiza todos los traslados, higiene personal, alimentación y trabajo doméstico mientras ella trabaja fuera del hogar.</w:t>
            </w:r>
          </w:p>
          <w:p w:rsidR="00830FCE" w:rsidRDefault="00830FCE" w:rsidP="00830FCE">
            <w:r>
              <w:lastRenderedPageBreak/>
              <w:t>Dificultad física para los traslados: la ciudadana padece problemas de columna y los fines de semana es quien asiste en el cuidado, con el esfuerzo que implica mover a una persona con movilidad reducida.</w:t>
            </w:r>
          </w:p>
          <w:p w:rsidR="00830FCE" w:rsidRDefault="00830FCE" w:rsidP="00830FCE">
            <w:r>
              <w:t>Problema social derivado del cuidado: al bañar al esposo, él grita de dolor, lo que genera temor a que los vecinos denuncien violencia familiar.</w:t>
            </w:r>
          </w:p>
          <w:p w:rsidR="00830FCE" w:rsidRPr="00830FCE" w:rsidRDefault="00830FCE" w:rsidP="00830FCE">
            <w:pPr>
              <w:rPr>
                <w:b/>
                <w:bCs/>
              </w:rPr>
            </w:pPr>
            <w:r w:rsidRPr="00830FCE">
              <w:rPr>
                <w:b/>
                <w:bCs/>
              </w:rPr>
              <w:t>Propuestas:</w:t>
            </w:r>
          </w:p>
          <w:p w:rsidR="00830FCE" w:rsidRDefault="00830FCE" w:rsidP="00830FCE">
            <w:r>
              <w:t>Reconocer y apoyar económica y psicológicamente a los cuidadores secundarios o de relevo dentro del núcleo familiar (en este caso, la hija adulta), no solo al cuidador principal.</w:t>
            </w:r>
          </w:p>
          <w:p w:rsidR="001A3945" w:rsidRDefault="00830FCE" w:rsidP="00830FCE">
            <w:r>
              <w:t>Incluir en la ley apoyos específicos para el manejo de personas con movilidad reducida: capacitación en transferencias, equipos de asistencia (grúas, sillas adaptadas) y visitas domiciliarias de rehabilitación.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lastRenderedPageBreak/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830FCE" w:rsidP="00830FCE">
            <w:r w:rsidRPr="00830FCE">
              <w:t>Ciudadana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830FCE">
            <w:r w:rsidRPr="00830FCE">
              <w:t>Madre de niña con discapacidad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0FCE" w:rsidRDefault="00830FCE" w:rsidP="00830FCE">
            <w:r w:rsidRPr="00830FCE">
              <w:rPr>
                <w:b/>
                <w:bCs/>
              </w:rPr>
              <w:t>Doble situación de cuidado</w:t>
            </w:r>
            <w:r>
              <w:t>: madre de niña con discapacidad y acompañante de sobrino internado cuya madre no puede ausentarse de su empleo.</w:t>
            </w:r>
          </w:p>
          <w:p w:rsidR="001A3945" w:rsidRDefault="00830FCE" w:rsidP="00830FCE">
            <w:r>
              <w:t xml:space="preserve">Reconocimiento explícito a la </w:t>
            </w:r>
            <w:r w:rsidRPr="00830FCE">
              <w:rPr>
                <w:b/>
                <w:bCs/>
              </w:rPr>
              <w:t>iniciativa como solución</w:t>
            </w:r>
            <w:r>
              <w:t xml:space="preserve"> para personas que no pueden trabajar por estar dedicadas 24 horas al cuidado de personas con discapacidad o adultos mayores.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17624" w:rsidRDefault="00917624">
            <w:r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830FCE">
            <w:r w:rsidRPr="00830FCE">
              <w:t>Ciudadana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830FCE">
            <w:r w:rsidRPr="00830FCE">
              <w:t>Vecina, colonia Emilio Carranza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0FCE" w:rsidRDefault="00830FCE" w:rsidP="00830FCE">
            <w:r>
              <w:t>Cuidadora de madre de 86 años y de hermana con discapacidad de 64 años: doble carga de cuidado familiar en el hogar.</w:t>
            </w:r>
          </w:p>
          <w:p w:rsidR="00917624" w:rsidRDefault="00830FCE" w:rsidP="00830FCE">
            <w:r>
              <w:t>Expresó apoyo a la iniciativa y expectativa de que el sistema produzca resultados concretos en su situación.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17624" w:rsidRDefault="00917624">
            <w:r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830FCE">
            <w:r w:rsidRPr="00830FCE">
              <w:t>CONNY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830FCE">
            <w:r w:rsidRPr="00830FCE">
              <w:t>Cuidadora de padre adulto mayor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0FCE" w:rsidRDefault="00830FCE" w:rsidP="00830FCE">
            <w:r>
              <w:t>Cuidadora de padre de 73 años. Expresó que el Sistema de Cuidados representaría un beneficio directo y concreto para su situación.</w:t>
            </w:r>
          </w:p>
          <w:p w:rsidR="00917624" w:rsidRDefault="00830FCE" w:rsidP="00830FCE">
            <w:r>
              <w:t>Apoyo general a la iniciativa.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830FCE" w:rsidRDefault="00830FCE" w:rsidP="00830FCE">
      <w:pPr>
        <w:pStyle w:val="Prrafodelista"/>
        <w:numPr>
          <w:ilvl w:val="0"/>
          <w:numId w:val="7"/>
        </w:numPr>
        <w:tabs>
          <w:tab w:val="left" w:pos="975"/>
        </w:tabs>
      </w:pPr>
      <w:r w:rsidRPr="00830FCE">
        <w:rPr>
          <w:b/>
          <w:bCs/>
        </w:rPr>
        <w:t>Apoyo ciudadano a la ley</w:t>
      </w:r>
      <w:r>
        <w:rPr>
          <w:b/>
          <w:bCs/>
        </w:rPr>
        <w:t xml:space="preserve">. </w:t>
      </w:r>
      <w:r>
        <w:t>Las cuatro personas que tomaron la palabra expresaron apoyo explícito a la iniciativa. Las vivencias relatadas son consistentes con el perfil de cuidadora identificado en el ciclo: mujeres que atienden a personas con discapacidad o adultos mayores, muchas de ellas con doble carga de cuidado.</w:t>
      </w:r>
    </w:p>
    <w:p w:rsidR="00830FCE" w:rsidRDefault="00830FCE" w:rsidP="00830FCE">
      <w:pPr>
        <w:pStyle w:val="Prrafodelista"/>
        <w:tabs>
          <w:tab w:val="left" w:pos="975"/>
        </w:tabs>
        <w:ind w:left="720"/>
      </w:pPr>
    </w:p>
    <w:p w:rsidR="00830FCE" w:rsidRDefault="00830FCE" w:rsidP="00830FCE">
      <w:pPr>
        <w:pStyle w:val="Prrafodelista"/>
        <w:numPr>
          <w:ilvl w:val="0"/>
          <w:numId w:val="7"/>
        </w:numPr>
        <w:tabs>
          <w:tab w:val="left" w:pos="975"/>
        </w:tabs>
        <w:spacing w:line="276" w:lineRule="auto"/>
      </w:pPr>
      <w:r w:rsidRPr="00830FCE">
        <w:rPr>
          <w:b/>
          <w:bCs/>
        </w:rPr>
        <w:lastRenderedPageBreak/>
        <w:t>Doble y triple carga de cuidado</w:t>
      </w:r>
      <w:r>
        <w:t>. Dos de las cuatro ciudadanas atienden simultáneamente a dos personas dependientes (esposo más hija, o madre más hermana). La carga de cuidado se concentra en una sola persona del núcleo familiar, generalmente mujer.</w:t>
      </w:r>
    </w:p>
    <w:p w:rsidR="00830FCE" w:rsidRDefault="00830FCE" w:rsidP="00830FCE">
      <w:pPr>
        <w:pStyle w:val="Prrafodelista"/>
        <w:tabs>
          <w:tab w:val="left" w:pos="975"/>
        </w:tabs>
        <w:spacing w:line="276" w:lineRule="auto"/>
        <w:ind w:left="720"/>
      </w:pPr>
    </w:p>
    <w:p w:rsidR="00830FCE" w:rsidRDefault="00830FCE" w:rsidP="00830FCE">
      <w:pPr>
        <w:pStyle w:val="Prrafodelista"/>
        <w:numPr>
          <w:ilvl w:val="0"/>
          <w:numId w:val="7"/>
        </w:numPr>
        <w:tabs>
          <w:tab w:val="left" w:pos="975"/>
        </w:tabs>
        <w:spacing w:line="276" w:lineRule="auto"/>
      </w:pPr>
      <w:r w:rsidRPr="00830FCE">
        <w:rPr>
          <w:b/>
          <w:bCs/>
        </w:rPr>
        <w:t>Cuidadoras secundarias invisibles</w:t>
      </w:r>
      <w:r>
        <w:t>. La intervención de Lourdes Torres evidenció que los hijos adultos que asumen el cuidado cotidiano mientras el progenitor trabaja quedan fuera del reconocimiento y apoyo institucional. La ley debe contemplar apoyos también para cuidadoras de relevo dentro del hogar.</w:t>
      </w:r>
    </w:p>
    <w:p w:rsidR="00830FCE" w:rsidRPr="00830FCE" w:rsidRDefault="00830FCE" w:rsidP="00830FCE">
      <w:pPr>
        <w:pStyle w:val="Prrafodelista"/>
        <w:tabs>
          <w:tab w:val="left" w:pos="975"/>
        </w:tabs>
        <w:spacing w:line="276" w:lineRule="auto"/>
        <w:ind w:left="720"/>
      </w:pPr>
    </w:p>
    <w:p w:rsidR="00830FCE" w:rsidRDefault="00830FCE" w:rsidP="00830FCE">
      <w:pPr>
        <w:pStyle w:val="Prrafodelista"/>
        <w:numPr>
          <w:ilvl w:val="0"/>
          <w:numId w:val="7"/>
        </w:numPr>
        <w:tabs>
          <w:tab w:val="left" w:pos="975"/>
        </w:tabs>
        <w:spacing w:line="276" w:lineRule="auto"/>
      </w:pPr>
      <w:r w:rsidRPr="00830FCE">
        <w:rPr>
          <w:b/>
          <w:bCs/>
        </w:rPr>
        <w:t>Movilidad y traslado de personas dependientes</w:t>
      </w:r>
      <w:r>
        <w:t>. Se identificó como necesidad urgente la capacitación en traslados, la dotación de equipos de asistencia (grúas, sillas adaptadas) y las visitas domiciliarias de rehabilitación para familias que cuidan a personas con movilidad reducida severa.</w:t>
      </w:r>
    </w:p>
    <w:p w:rsidR="00830FCE" w:rsidRPr="00830FCE" w:rsidRDefault="00830FCE" w:rsidP="00830FCE">
      <w:pPr>
        <w:pStyle w:val="Prrafodelista"/>
        <w:tabs>
          <w:tab w:val="left" w:pos="975"/>
        </w:tabs>
        <w:spacing w:line="276" w:lineRule="auto"/>
        <w:ind w:left="720"/>
      </w:pPr>
    </w:p>
    <w:p w:rsidR="00830FCE" w:rsidRDefault="00830FCE" w:rsidP="00830FCE">
      <w:pPr>
        <w:pStyle w:val="Prrafodelista"/>
        <w:numPr>
          <w:ilvl w:val="0"/>
          <w:numId w:val="7"/>
        </w:numPr>
        <w:tabs>
          <w:tab w:val="left" w:pos="975"/>
        </w:tabs>
        <w:spacing w:line="276" w:lineRule="auto"/>
      </w:pPr>
      <w:r w:rsidRPr="00830FCE">
        <w:rPr>
          <w:b/>
          <w:bCs/>
        </w:rPr>
        <w:t>Efectos psicosociales del cuidado</w:t>
      </w:r>
      <w:r>
        <w:t>. La ciudadana Lourdes Torres evidenció el temor social asociado a los cuidados: los gritos del cuidado de su esposo generan riesgo de denuncias por violencia. La ley debe contemplar mecanismos de identificación y acompañamiento para familias cuidadoras en situación de vulnerabilidad social.</w:t>
      </w:r>
    </w:p>
    <w:p w:rsidR="00830FCE" w:rsidRPr="00830FCE" w:rsidRDefault="00830FCE" w:rsidP="00830FCE">
      <w:pPr>
        <w:pStyle w:val="Prrafodelista"/>
        <w:rPr>
          <w:b/>
          <w:bCs/>
        </w:rPr>
      </w:pPr>
    </w:p>
    <w:p w:rsidR="00830FCE" w:rsidRDefault="00830FCE" w:rsidP="00830FCE">
      <w:pPr>
        <w:pStyle w:val="Prrafodelista"/>
        <w:numPr>
          <w:ilvl w:val="0"/>
          <w:numId w:val="7"/>
        </w:numPr>
        <w:tabs>
          <w:tab w:val="left" w:pos="975"/>
        </w:tabs>
        <w:spacing w:line="276" w:lineRule="auto"/>
      </w:pPr>
      <w:r w:rsidRPr="00830FCE">
        <w:rPr>
          <w:b/>
          <w:bCs/>
        </w:rPr>
        <w:t>Cierre del ciclo de consultas</w:t>
      </w:r>
      <w:r>
        <w:t>. Con esta audiencia se completaron las 14 alcaldías. La diputada Vadillo Obregón señaló que la consulta acumuló más de 3,200 personas, 150 organizaciones y más de 30 foros, y que la iniciativa ha sido modificada de manera continua a partir de las observaciones recibidas.</w:t>
      </w:r>
    </w:p>
    <w:p w:rsidR="00866F16" w:rsidRDefault="00866F16" w:rsidP="00830FCE">
      <w:pPr>
        <w:pStyle w:val="Prrafodelista"/>
        <w:tabs>
          <w:tab w:val="left" w:pos="3225"/>
        </w:tabs>
        <w:spacing w:line="360" w:lineRule="auto"/>
        <w:ind w:left="1428"/>
        <w:jc w:val="both"/>
      </w:pP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56" w:rsidRDefault="002F2556" w:rsidP="001A3945">
      <w:r>
        <w:separator/>
      </w:r>
    </w:p>
  </w:endnote>
  <w:endnote w:type="continuationSeparator" w:id="0">
    <w:p w:rsidR="002F2556" w:rsidRDefault="002F2556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56" w:rsidRDefault="002F2556" w:rsidP="001A3945">
      <w:r>
        <w:separator/>
      </w:r>
    </w:p>
  </w:footnote>
  <w:footnote w:type="continuationSeparator" w:id="0">
    <w:p w:rsidR="002F2556" w:rsidRDefault="002F2556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2F2556"/>
    <w:rsid w:val="00306797"/>
    <w:rsid w:val="004650E9"/>
    <w:rsid w:val="00591443"/>
    <w:rsid w:val="00830FCE"/>
    <w:rsid w:val="00852A76"/>
    <w:rsid w:val="00866F16"/>
    <w:rsid w:val="00917624"/>
    <w:rsid w:val="00946439"/>
    <w:rsid w:val="00B46129"/>
    <w:rsid w:val="00BE5C22"/>
    <w:rsid w:val="00C7178B"/>
    <w:rsid w:val="00C82D1D"/>
    <w:rsid w:val="00CA6C6D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2026-05-18T19:08:00Z</dcterms:created>
  <dcterms:modified xsi:type="dcterms:W3CDTF">2026-05-18T19:08:00Z</dcterms:modified>
</cp:coreProperties>
</file>